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7F58" w14:textId="77777777" w:rsidR="00051E42" w:rsidRPr="005E6BCD" w:rsidRDefault="00051E42" w:rsidP="00051E42">
      <w:pPr>
        <w:pStyle w:val="ListParagraph"/>
        <w:tabs>
          <w:tab w:val="center" w:pos="4680"/>
        </w:tabs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BC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Uvod u Konvenciju o kemijskom oružju (CWC)</w:t>
      </w:r>
    </w:p>
    <w:p w14:paraId="61EA1906" w14:textId="77777777" w:rsidR="00051E42" w:rsidRPr="005E6BCD" w:rsidRDefault="00051E42" w:rsidP="00051E42">
      <w:pPr>
        <w:pStyle w:val="ListParagraph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E6B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bidi="hr-HR"/>
        </w:rPr>
        <w:t>Kontekst</w:t>
      </w:r>
    </w:p>
    <w:p w14:paraId="6CCEF503" w14:textId="70F8E6C5" w:rsidR="00051E42" w:rsidRPr="005E6BCD" w:rsidRDefault="00051E42" w:rsidP="00051E42">
      <w:pPr>
        <w:pStyle w:val="ListParagraph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hr-HR"/>
        </w:rPr>
        <w:t xml:space="preserve">Konvencija o kemijskom oružju (CWC) je međunarodni sporazum o kontroli, razoružanju i neširenju nuklearnog oružja koji utječe na poduzeća uključena u proizvodnju, preradu, potrošnju, uvoz i/ili izvoz niza komercijalnih kemikalija i srodnih </w:t>
      </w:r>
      <w:proofErr w:type="spellStart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hr-HR"/>
        </w:rPr>
        <w:t>prekursora</w:t>
      </w:r>
      <w:proofErr w:type="spellEnd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hr-HR"/>
        </w:rPr>
        <w:t>. Konvencija je stupila na snagu 29. travnja 1997. [</w:t>
      </w:r>
      <w:r w:rsidRPr="005E6BCD">
        <w:rPr>
          <w:rFonts w:ascii="Times New Roman" w:eastAsia="Times New Roman" w:hAnsi="Times New Roman" w:cs="Times New Roman"/>
          <w:color w:val="4472C4" w:themeColor="accent1"/>
          <w:sz w:val="24"/>
          <w:szCs w:val="24"/>
          <w:shd w:val="clear" w:color="auto" w:fill="FFFFFF"/>
          <w:lang w:bidi="hr-HR"/>
        </w:rPr>
        <w:t>u</w:t>
      </w:r>
      <w:r w:rsidR="00702A4B" w:rsidRPr="005E6BCD">
        <w:rPr>
          <w:rFonts w:ascii="Times New Roman" w:eastAsia="Times New Roman" w:hAnsi="Times New Roman" w:cs="Times New Roman"/>
          <w:color w:val="4472C4" w:themeColor="accent1"/>
          <w:sz w:val="24"/>
          <w:szCs w:val="24"/>
          <w:shd w:val="clear" w:color="auto" w:fill="FFFFFF"/>
          <w:lang w:bidi="hr-HR"/>
        </w:rPr>
        <w:t>metnuti</w:t>
      </w:r>
      <w:r w:rsidRPr="005E6BCD">
        <w:rPr>
          <w:rFonts w:ascii="Times New Roman" w:eastAsia="Times New Roman" w:hAnsi="Times New Roman" w:cs="Times New Roman"/>
          <w:color w:val="4472C4" w:themeColor="accent1"/>
          <w:sz w:val="24"/>
          <w:szCs w:val="24"/>
          <w:shd w:val="clear" w:color="auto" w:fill="FFFFFF"/>
          <w:lang w:bidi="hr-HR"/>
        </w:rPr>
        <w:t xml:space="preserve"> ime vaše države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hr-HR"/>
        </w:rPr>
        <w:t>] je pristupila Konvenciji [</w:t>
      </w:r>
      <w:r w:rsidRPr="005E6BCD">
        <w:rPr>
          <w:rFonts w:ascii="Times New Roman" w:eastAsia="Times New Roman" w:hAnsi="Times New Roman" w:cs="Times New Roman"/>
          <w:color w:val="4472C4" w:themeColor="accent1"/>
          <w:sz w:val="24"/>
          <w:szCs w:val="24"/>
          <w:shd w:val="clear" w:color="auto" w:fill="FFFFFF"/>
          <w:lang w:bidi="hr-HR"/>
        </w:rPr>
        <w:t>u</w:t>
      </w:r>
      <w:r w:rsidR="00702A4B" w:rsidRPr="005E6BCD">
        <w:rPr>
          <w:rFonts w:ascii="Times New Roman" w:eastAsia="Times New Roman" w:hAnsi="Times New Roman" w:cs="Times New Roman"/>
          <w:color w:val="4472C4" w:themeColor="accent1"/>
          <w:sz w:val="24"/>
          <w:szCs w:val="24"/>
          <w:shd w:val="clear" w:color="auto" w:fill="FFFFFF"/>
          <w:lang w:bidi="hr-HR"/>
        </w:rPr>
        <w:t>metnuti</w:t>
      </w:r>
      <w:r w:rsidRPr="005E6BCD">
        <w:rPr>
          <w:rFonts w:ascii="Times New Roman" w:eastAsia="Times New Roman" w:hAnsi="Times New Roman" w:cs="Times New Roman"/>
          <w:color w:val="4472C4" w:themeColor="accent1"/>
          <w:sz w:val="24"/>
          <w:szCs w:val="24"/>
          <w:shd w:val="clear" w:color="auto" w:fill="FFFFFF"/>
          <w:lang w:bidi="hr-HR"/>
        </w:rPr>
        <w:t xml:space="preserve"> datum ratifikacije Konvencije o kemijskom oružju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hr-HR"/>
        </w:rPr>
        <w:t xml:space="preserve">]. </w:t>
      </w:r>
    </w:p>
    <w:p w14:paraId="5A9A5B44" w14:textId="56E8F1A8" w:rsidR="00051E42" w:rsidRPr="005E6BCD" w:rsidRDefault="00051E42" w:rsidP="00051E42">
      <w:pPr>
        <w:pStyle w:val="ListParagraph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BCD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Sve države stranke Konvencije obvezale su se uspostaviti ili odrediti nacionalno tijelo</w:t>
      </w: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ili NT (CWC), odnosno vladino tijelo koje je odgovorno za nacionalnu implementaciju Konvencije o kemijskom oružju u svakoj državi. Nacionalno tijelo (CWC) u [</w:t>
      </w:r>
      <w:r w:rsidRPr="005E6BC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bidi="hr-HR"/>
        </w:rPr>
        <w:t>u</w:t>
      </w:r>
      <w:r w:rsidR="00702A4B" w:rsidRPr="005E6BC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bidi="hr-HR"/>
        </w:rPr>
        <w:t>metnuti</w:t>
      </w:r>
      <w:r w:rsidRPr="005E6BC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bidi="hr-HR"/>
        </w:rPr>
        <w:t xml:space="preserve"> ime vaše države</w:t>
      </w: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] smješteno je u [</w:t>
      </w:r>
      <w:r w:rsidRPr="005E6BC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bidi="hr-HR"/>
        </w:rPr>
        <w:t>umetnuti naziv agencije ili institucije koja služi kao NT (CWC</w:t>
      </w: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) u vašoj državi.</w:t>
      </w:r>
    </w:p>
    <w:p w14:paraId="6EAC1E2F" w14:textId="77777777" w:rsidR="00051E42" w:rsidRPr="005E6BCD" w:rsidRDefault="00051E42" w:rsidP="00051E42">
      <w:pPr>
        <w:pStyle w:val="ListParagraph"/>
        <w:autoSpaceDE w:val="0"/>
        <w:autoSpaceDN w:val="0"/>
        <w:adjustRightInd w:val="0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b/>
          <w:i/>
          <w:sz w:val="24"/>
          <w:szCs w:val="24"/>
          <w:lang w:bidi="hr-HR"/>
        </w:rPr>
        <w:t>Pregled kemikalija iz Konvencije o kemijskom oružju</w:t>
      </w:r>
    </w:p>
    <w:p w14:paraId="5C0EF326" w14:textId="17DC4CBB" w:rsidR="00051E42" w:rsidRPr="005E6BCD" w:rsidRDefault="00051E42" w:rsidP="0005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Konvencija sadrži tri popisa ili „pregleda” otrovnih kemikalija i njihovih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prekursora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koji imaju legitimne medicinske, komercijalne i industrijske svrhe, ali se isto tako mogu koristiti kao agensi ili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prekursori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3B6C96">
        <w:rPr>
          <w:rFonts w:ascii="Times New Roman" w:eastAsia="Times New Roman" w:hAnsi="Times New Roman" w:cs="Times New Roman"/>
          <w:sz w:val="24"/>
          <w:szCs w:val="24"/>
          <w:lang w:bidi="hr-HR"/>
        </w:rPr>
        <w:t>za kemijsko ratovanje</w:t>
      </w: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  <w:r w:rsidRPr="005E6BCD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1"/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Kemikalije sadržane u Konvenciji o kemijskom oružju podijeljene su u tri </w:t>
      </w:r>
      <w:r w:rsidR="00EA3368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popisa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(na temelju </w:t>
      </w:r>
      <w:r w:rsidR="0019345A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njihove 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moguće uporabe u razvijanju kemijskog oružja) kako slijedi:</w:t>
      </w:r>
    </w:p>
    <w:p w14:paraId="52F03F0E" w14:textId="77777777" w:rsidR="00051E42" w:rsidRPr="005E6BCD" w:rsidRDefault="00637B65" w:rsidP="00051E42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051E42" w:rsidRPr="005E6BC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bidi="hr-HR"/>
          </w:rPr>
          <w:t>Popis 1.</w:t>
        </w:r>
      </w:hyperlink>
      <w:r w:rsidR="00051E42"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</w:t>
      </w:r>
    </w:p>
    <w:p w14:paraId="65AFE2E3" w14:textId="4CB798DE" w:rsidR="00051E42" w:rsidRPr="005E6BCD" w:rsidRDefault="00051E42" w:rsidP="00051E42">
      <w:pPr>
        <w:pStyle w:val="ListParagraph"/>
        <w:numPr>
          <w:ilvl w:val="0"/>
          <w:numId w:val="3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Obuhvaća poznate agense </w:t>
      </w:r>
      <w:r w:rsidR="003B6C96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za kemijsko ratovanje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i njihove neposredne </w:t>
      </w:r>
      <w:proofErr w:type="spellStart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prekursore</w:t>
      </w:r>
      <w:proofErr w:type="spellEnd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;</w:t>
      </w:r>
    </w:p>
    <w:p w14:paraId="27A00066" w14:textId="77777777" w:rsidR="00051E42" w:rsidRPr="005E6BCD" w:rsidRDefault="00051E42" w:rsidP="00051E42">
      <w:pPr>
        <w:pStyle w:val="ListParagraph"/>
        <w:numPr>
          <w:ilvl w:val="0"/>
          <w:numId w:val="3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Ograničena ili nelegitimna uporaba (industrijska i civilna primjena);</w:t>
      </w:r>
    </w:p>
    <w:p w14:paraId="403C0C0A" w14:textId="77777777" w:rsidR="00051E42" w:rsidRPr="005E6BCD" w:rsidRDefault="00051E42" w:rsidP="00051E42">
      <w:pPr>
        <w:pStyle w:val="ListParagraph"/>
        <w:numPr>
          <w:ilvl w:val="0"/>
          <w:numId w:val="3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Mogu se proizvoditi ili upotrebljavati samo za istraživanja, medicinske, farmaceutske ili zaštitne svrhe. </w:t>
      </w:r>
    </w:p>
    <w:p w14:paraId="5AA6C44E" w14:textId="640D831F" w:rsidR="00051E42" w:rsidRPr="005E6BCD" w:rsidRDefault="00051E42" w:rsidP="00051E42">
      <w:pPr>
        <w:pStyle w:val="ListParagraph"/>
        <w:numPr>
          <w:ilvl w:val="0"/>
          <w:numId w:val="3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Razvijene su ili se koriste prvenstveno u vojne svrhe, no neke kemikalije s Popisa 1. se koriste kao sastojci u farmaceutskim pripravcima ili u dijagnostičke svrhe.</w:t>
      </w:r>
    </w:p>
    <w:p w14:paraId="4AC5DB06" w14:textId="22C00CD1" w:rsidR="00051E42" w:rsidRPr="005E6BCD" w:rsidRDefault="00051E42" w:rsidP="00051E42">
      <w:pPr>
        <w:pStyle w:val="ListParagraph"/>
        <w:numPr>
          <w:ilvl w:val="0"/>
          <w:numId w:val="3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Primjeri uključuju </w:t>
      </w:r>
      <w:r w:rsidR="00E16B55">
        <w:rPr>
          <w:rFonts w:ascii="Times New Roman" w:eastAsia="Times New Roman" w:hAnsi="Times New Roman" w:cs="Times New Roman"/>
          <w:sz w:val="24"/>
          <w:szCs w:val="24"/>
          <w:lang w:bidi="hr-HR"/>
        </w:rPr>
        <w:t>živčani</w:t>
      </w: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bojni </w:t>
      </w:r>
      <w:r w:rsidR="0049227F">
        <w:rPr>
          <w:rFonts w:ascii="Times New Roman" w:eastAsia="Times New Roman" w:hAnsi="Times New Roman" w:cs="Times New Roman"/>
          <w:sz w:val="24"/>
          <w:szCs w:val="24"/>
          <w:lang w:bidi="hr-HR"/>
        </w:rPr>
        <w:t>o</w:t>
      </w: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trov (npr.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sarin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soman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tabun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VX) i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plikavac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(npr. iperit i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luizit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).</w:t>
      </w:r>
    </w:p>
    <w:p w14:paraId="2370443B" w14:textId="77777777" w:rsidR="00051E42" w:rsidRPr="005E6BCD" w:rsidRDefault="00051E42" w:rsidP="00051E42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F6571D" w14:textId="77777777" w:rsidR="00051E42" w:rsidRPr="005E6BCD" w:rsidRDefault="00637B65" w:rsidP="00051E4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051E42" w:rsidRPr="005E6BC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bidi="hr-HR"/>
          </w:rPr>
          <w:t>Popis 2.</w:t>
        </w:r>
      </w:hyperlink>
    </w:p>
    <w:p w14:paraId="1978B88C" w14:textId="77777777" w:rsidR="00051E42" w:rsidRPr="005E6BCD" w:rsidRDefault="00051E42" w:rsidP="00051E42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Obuhvaća kemikalije i </w:t>
      </w:r>
      <w:proofErr w:type="spellStart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prekursore</w:t>
      </w:r>
      <w:proofErr w:type="spellEnd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koji imaju određenu industrijsku primjenu  </w:t>
      </w:r>
    </w:p>
    <w:p w14:paraId="474C9180" w14:textId="77777777" w:rsidR="00051E42" w:rsidRPr="005E6BCD" w:rsidRDefault="00051E42" w:rsidP="00051E42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Sadrži otrovne kemikalije (2A) i </w:t>
      </w:r>
      <w:proofErr w:type="spellStart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prekursore</w:t>
      </w:r>
      <w:proofErr w:type="spellEnd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(2B) povrh kemikalija iz Priloga 1. </w:t>
      </w:r>
    </w:p>
    <w:p w14:paraId="5F76AFA5" w14:textId="77777777" w:rsidR="00051E42" w:rsidRPr="005E6BCD" w:rsidRDefault="00051E42" w:rsidP="00051E42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Imaju određene legitimne uporabe, ali se ne proizvode u velikim komercijalnim količinama.</w:t>
      </w:r>
    </w:p>
    <w:p w14:paraId="673D261B" w14:textId="720ACB23" w:rsidR="00051E42" w:rsidRPr="005E6BCD" w:rsidRDefault="00051E42" w:rsidP="00051E42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Primjeri uključuju: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dimetil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metilfosfonat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prekursor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E16B55">
        <w:rPr>
          <w:rFonts w:ascii="Times New Roman" w:eastAsia="Times New Roman" w:hAnsi="Times New Roman" w:cs="Times New Roman"/>
          <w:sz w:val="24"/>
          <w:szCs w:val="24"/>
          <w:lang w:bidi="hr-HR"/>
        </w:rPr>
        <w:t>živčanog</w:t>
      </w:r>
      <w:bookmarkStart w:id="0" w:name="_GoBack"/>
      <w:bookmarkEnd w:id="0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bojnog otrova koji se također koristi kao usporivač gorenja te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tiodiglikol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prekurskor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sumpornog iperita u širokoj uporabi kao otapalo u bojama i bojilima te u određenim kemikalijama koje se koriste za proizvodnju gnojiva, insekticida, herbicida i pesticida.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</w:t>
      </w:r>
    </w:p>
    <w:p w14:paraId="2FEBB97E" w14:textId="77777777" w:rsidR="00051E42" w:rsidRPr="005E6BCD" w:rsidRDefault="00051E42" w:rsidP="00051E42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37EEE5" w14:textId="77777777" w:rsidR="00051E42" w:rsidRPr="005E6BCD" w:rsidRDefault="00637B65" w:rsidP="00051E4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051E42" w:rsidRPr="005E6BC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bidi="hr-HR"/>
          </w:rPr>
          <w:t>Popis 3.</w:t>
        </w:r>
      </w:hyperlink>
      <w:r w:rsidR="00051E42"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</w:t>
      </w:r>
    </w:p>
    <w:p w14:paraId="59D46BAE" w14:textId="77777777" w:rsidR="00051E42" w:rsidRPr="005E6BCD" w:rsidRDefault="00051E42" w:rsidP="00051E42">
      <w:pPr>
        <w:pStyle w:val="ListParagraph"/>
        <w:numPr>
          <w:ilvl w:val="0"/>
          <w:numId w:val="1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Obuhvaća kemikalije i </w:t>
      </w:r>
      <w:proofErr w:type="spellStart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prekursore</w:t>
      </w:r>
      <w:proofErr w:type="spellEnd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šire komercijalne primjene. </w:t>
      </w:r>
    </w:p>
    <w:p w14:paraId="4533DDA9" w14:textId="77777777" w:rsidR="00051E42" w:rsidRPr="005E6BCD" w:rsidRDefault="00051E42" w:rsidP="00051E42">
      <w:pPr>
        <w:pStyle w:val="ListParagraph"/>
        <w:numPr>
          <w:ilvl w:val="0"/>
          <w:numId w:val="1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Sadrži otrovne kemikalije (3A) i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prekursore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(3B) povrh kemikalija iz Priloga 1. </w:t>
      </w:r>
    </w:p>
    <w:p w14:paraId="71CB6D77" w14:textId="77777777" w:rsidR="00051E42" w:rsidRPr="005E6BCD" w:rsidRDefault="00051E42" w:rsidP="00051E4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 xml:space="preserve">Kemikalije imaju značajnu legitimnu uporabu (uključujući plastiku, </w:t>
      </w:r>
      <w:proofErr w:type="spellStart"/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>uretane</w:t>
      </w:r>
      <w:proofErr w:type="spellEnd"/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 xml:space="preserve">, </w:t>
      </w:r>
      <w:proofErr w:type="spellStart"/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>adsorbente</w:t>
      </w:r>
      <w:proofErr w:type="spellEnd"/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 xml:space="preserve">, smole, kemikalije u rudarstvu, </w:t>
      </w:r>
      <w:proofErr w:type="spellStart"/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>fumigante</w:t>
      </w:r>
      <w:proofErr w:type="spellEnd"/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 xml:space="preserve"> za rafiniranje nafte, boje, premaze, </w:t>
      </w:r>
      <w:proofErr w:type="spellStart"/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>antistatička</w:t>
      </w:r>
      <w:proofErr w:type="spellEnd"/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 xml:space="preserve"> sredstva, pesticide, farmaceutske proizvode, toaletne proizvode, maziva, akrile, pripravke koji se koriste za štavljenje kože, površinske aktivne tvari, </w:t>
      </w:r>
      <w:proofErr w:type="spellStart"/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>inhibitore</w:t>
      </w:r>
      <w:proofErr w:type="spellEnd"/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 xml:space="preserve"> korozije, materijale koji se koriste kod vađenja zlata, vulkanizacijska sredstva i brojen druge) i proizvode se u velikim komercijalnim količinama.</w:t>
      </w:r>
    </w:p>
    <w:p w14:paraId="24335C9A" w14:textId="3A4FA3A2" w:rsidR="00051E42" w:rsidRPr="005E6BCD" w:rsidRDefault="00051E42" w:rsidP="00051E4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Primjeri uključuju: fozgen, koji se koristi u proizvodnji plastike</w:t>
      </w:r>
      <w:r w:rsidR="0049227F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,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i </w:t>
      </w:r>
      <w:proofErr w:type="spellStart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klorpikrin</w:t>
      </w:r>
      <w:proofErr w:type="spellEnd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, koji je </w:t>
      </w:r>
      <w:proofErr w:type="spellStart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fumigant</w:t>
      </w:r>
      <w:proofErr w:type="spellEnd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, kao i brojne druge koji se koriste u proizvodnji razrjeđivača za boje, sredstava za čišćenje i maziva.</w:t>
      </w:r>
    </w:p>
    <w:p w14:paraId="617448D9" w14:textId="77777777" w:rsidR="00051E42" w:rsidRPr="005E6BCD" w:rsidRDefault="00051E42" w:rsidP="00051E42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1BA2EB" w14:textId="50D81268" w:rsidR="00051E42" w:rsidRPr="005E6BCD" w:rsidRDefault="00051E42" w:rsidP="00051E42">
      <w:pPr>
        <w:pStyle w:val="ListParagraph"/>
        <w:spacing w:before="120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Konvencija o kemijskom oružju obuhvaća</w:t>
      </w:r>
      <w:r w:rsidR="00AD6367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i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</w:t>
      </w:r>
      <w:r w:rsidRPr="00F93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(</w:t>
      </w:r>
      <w:r w:rsidR="00CE1DD2" w:rsidRPr="00F93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nepopisane</w:t>
      </w:r>
      <w:r w:rsidRPr="00F93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) </w:t>
      </w:r>
      <w:r w:rsidR="00CE1DD2" w:rsidRPr="00F93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prekidne organske</w:t>
      </w:r>
      <w:r w:rsidRPr="00F93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 kemikalije</w:t>
      </w:r>
      <w:r w:rsidR="00CE1DD2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(DOC)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. </w:t>
      </w:r>
      <w:r w:rsidR="00F937A7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>Nepopisane prekidne organske kemikalije uključuju sve</w:t>
      </w:r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 xml:space="preserve"> </w:t>
      </w:r>
      <w:r w:rsidR="00F937A7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 xml:space="preserve">kemikalije koje pripadaju skupini </w:t>
      </w:r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>kemijskih spojeva koj</w:t>
      </w:r>
      <w:r w:rsidR="002D2E21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>i</w:t>
      </w:r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 xml:space="preserve"> se sastoj</w:t>
      </w:r>
      <w:r w:rsidR="002D2E21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>e</w:t>
      </w:r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 xml:space="preserve"> od svih spojeva ugljika, osim njegovih oksida, sulfida i metalnih karbonata.</w:t>
      </w:r>
    </w:p>
    <w:p w14:paraId="5045F566" w14:textId="77777777" w:rsidR="00051E42" w:rsidRPr="005E6BCD" w:rsidRDefault="00051E42" w:rsidP="00051E4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Nepopisane prekidne organske kemikalije (DOC)</w:t>
      </w:r>
    </w:p>
    <w:p w14:paraId="26E436B4" w14:textId="77777777" w:rsidR="00051E42" w:rsidRPr="005E6BCD" w:rsidRDefault="00051E42" w:rsidP="00051E4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Nepopisane prekidne organske kemikalije nisu uključene u Popise kemikalija sadržane u Konvenciji o kemijskom oružju. </w:t>
      </w:r>
    </w:p>
    <w:p w14:paraId="1C135968" w14:textId="4578A576" w:rsidR="00051E42" w:rsidRPr="005E6BCD" w:rsidRDefault="00051E42" w:rsidP="00051E4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 xml:space="preserve">Nepopisane prekidne organske kemikalije se mogu prepoznati po kemijskom nazivu, strukturnoj formuli (ako </w:t>
      </w:r>
      <w:r w:rsidR="00AD6367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>je poznata</w:t>
      </w:r>
      <w:r w:rsidRPr="005E6BCD">
        <w:rPr>
          <w:rFonts w:ascii="Times New Roman" w:eastAsia="Times New Roman" w:hAnsi="Times New Roman" w:cs="Times New Roman"/>
          <w:color w:val="2A2A2A"/>
          <w:sz w:val="24"/>
          <w:szCs w:val="24"/>
          <w:lang w:bidi="hr-HR"/>
        </w:rPr>
        <w:t>) te pomoću registracijskog broja CAS-a (CAS-Služba za sažetke iz područja kemije), ako je isti dodijeljen.</w:t>
      </w:r>
    </w:p>
    <w:p w14:paraId="2D599F3C" w14:textId="77777777" w:rsidR="00051E42" w:rsidRPr="005E6BCD" w:rsidRDefault="00051E42" w:rsidP="00051E4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Primjeri uključuju alkohole, aldehide (npr. formaldehid), etere,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amine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, etilen-okside, ureu, gnojiva (npr. </w:t>
      </w:r>
      <w:proofErr w:type="spellStart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glifosat</w:t>
      </w:r>
      <w:proofErr w:type="spellEnd"/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soli) i pesticide. </w:t>
      </w:r>
    </w:p>
    <w:p w14:paraId="623E79F7" w14:textId="5A821AAF" w:rsidR="00051E42" w:rsidRPr="005E6BCD" w:rsidRDefault="00051E42" w:rsidP="00051E4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Nepopisane prekidne organske kemikalije koji sadrže jedan ili više elemenata fosfora, sumpora ili fluora nazivaju se FSF</w:t>
      </w:r>
      <w:r w:rsidR="00AD6367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</w:t>
      </w:r>
      <w:r w:rsidR="00691A09">
        <w:rPr>
          <w:rFonts w:ascii="Times New Roman" w:eastAsia="Times New Roman" w:hAnsi="Times New Roman" w:cs="Times New Roman"/>
          <w:sz w:val="24"/>
          <w:szCs w:val="24"/>
          <w:lang w:bidi="hr-HR"/>
        </w:rPr>
        <w:t>(n</w:t>
      </w:r>
      <w:r w:rsidR="00691A09"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epopisane prekidne organske</w:t>
      </w:r>
      <w:r w:rsidR="00691A09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) </w:t>
      </w:r>
      <w:r w:rsidR="00AD6367">
        <w:rPr>
          <w:rFonts w:ascii="Times New Roman" w:eastAsia="Times New Roman" w:hAnsi="Times New Roman" w:cs="Times New Roman"/>
          <w:sz w:val="24"/>
          <w:szCs w:val="24"/>
          <w:lang w:bidi="hr-HR"/>
        </w:rPr>
        <w:t>kemikalije</w:t>
      </w: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</w:p>
    <w:p w14:paraId="11D9E947" w14:textId="77777777" w:rsidR="00051E42" w:rsidRPr="005E6BCD" w:rsidRDefault="00051E42" w:rsidP="0005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6F586" w14:textId="77777777" w:rsidR="00051E42" w:rsidRPr="005E6BCD" w:rsidRDefault="00051E42" w:rsidP="00051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hr-HR"/>
        </w:rPr>
        <w:t>Deklaracije i izvještaji</w:t>
      </w:r>
    </w:p>
    <w:p w14:paraId="24960061" w14:textId="77777777" w:rsidR="00051E42" w:rsidRPr="005E6BCD" w:rsidRDefault="00051E42" w:rsidP="0005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955E4" w14:textId="67CEF71C" w:rsidR="00051E42" w:rsidRPr="005E6BCD" w:rsidRDefault="00051E42" w:rsidP="0005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Konvencija o kemijskom oružju obvezuje države stranke da prijave određene aktivnosti vezane uz te kemikalije. Poduzeća koja posluju u državama koje su države stranke Konvencije o kontroli oružja moraju dostaviti deklaracije o proizvodnji, potrošnji, preradi i izvješća o uvozu i izvozu</w:t>
      </w:r>
      <w:r w:rsidR="001F6DD6" w:rsidRPr="005E6BCD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2"/>
      </w: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nacionalnom tijelu </w:t>
      </w:r>
      <w:r w:rsidR="00376D92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za provedbu Konvencije </w:t>
      </w:r>
      <w:r w:rsidRPr="005E6BCD">
        <w:rPr>
          <w:rFonts w:ascii="Times New Roman" w:eastAsia="Times New Roman" w:hAnsi="Times New Roman" w:cs="Times New Roman"/>
          <w:sz w:val="24"/>
          <w:szCs w:val="24"/>
          <w:lang w:bidi="hr-HR"/>
        </w:rPr>
        <w:t>(CWC)</w:t>
      </w:r>
      <w:r w:rsidR="00376D92">
        <w:rPr>
          <w:rFonts w:ascii="Times New Roman" w:eastAsia="Times New Roman" w:hAnsi="Times New Roman" w:cs="Times New Roman"/>
          <w:sz w:val="24"/>
          <w:szCs w:val="24"/>
          <w:lang w:bidi="hr-HR"/>
        </w:rPr>
        <w:t>.</w:t>
      </w:r>
      <w:r w:rsidRPr="005E6BCD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3"/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Ovi zahtjevi uključuju:</w:t>
      </w:r>
    </w:p>
    <w:p w14:paraId="5098A761" w14:textId="77777777" w:rsidR="00051E42" w:rsidRPr="005E6BCD" w:rsidRDefault="00051E42" w:rsidP="00051E42">
      <w:pPr>
        <w:numPr>
          <w:ilvl w:val="0"/>
          <w:numId w:val="5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Početne deklaracije;</w:t>
      </w:r>
    </w:p>
    <w:p w14:paraId="0B5A0CF5" w14:textId="77777777" w:rsidR="00051E42" w:rsidRPr="005E6BCD" w:rsidRDefault="00051E42" w:rsidP="00051E42">
      <w:pPr>
        <w:numPr>
          <w:ilvl w:val="0"/>
          <w:numId w:val="5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Godišnje deklaracije o aktivnostima u prethodnoj godini;</w:t>
      </w:r>
    </w:p>
    <w:p w14:paraId="18AFC8E1" w14:textId="771F4B8D" w:rsidR="00051E42" w:rsidRPr="005E6BCD" w:rsidRDefault="00051E42" w:rsidP="00051E42">
      <w:pPr>
        <w:numPr>
          <w:ilvl w:val="0"/>
          <w:numId w:val="5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Godišnje deklaracije o aktivnostima predviđenim za sljedeću godinu;</w:t>
      </w:r>
    </w:p>
    <w:p w14:paraId="2ABA2A38" w14:textId="77777777" w:rsidR="00051E42" w:rsidRPr="005E6BCD" w:rsidRDefault="00051E42" w:rsidP="00051E42">
      <w:pPr>
        <w:numPr>
          <w:ilvl w:val="0"/>
          <w:numId w:val="5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lastRenderedPageBreak/>
        <w:t>Izmjene i dopune ili najnoviji podaci o promjenama deklaracija u odnosu na prethodno dostavljene podatke ili dodatno planirane aktivnosti.</w:t>
      </w:r>
    </w:p>
    <w:p w14:paraId="42F26EF3" w14:textId="77777777" w:rsidR="00051E42" w:rsidRPr="005E6BCD" w:rsidRDefault="00051E42" w:rsidP="00051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73A7D" w14:textId="6BE3F127" w:rsidR="00051E42" w:rsidRPr="005E6BCD" w:rsidRDefault="001F6DD6" w:rsidP="00051E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hr-HR"/>
        </w:rPr>
        <w:t>I</w:t>
      </w:r>
      <w:r w:rsidR="00051E42" w:rsidRPr="005E6B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hr-HR"/>
        </w:rPr>
        <w:t>nspekcije:</w:t>
      </w:r>
    </w:p>
    <w:p w14:paraId="69ABC1EC" w14:textId="77777777" w:rsidR="00051E42" w:rsidRPr="005E6BCD" w:rsidRDefault="00051E42" w:rsidP="00051E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Konvencija o kontroli oružja ovlašćuje inspekcije na licu mjesta kada se premaše određeni (obično veći) pragovi aktivnosti.</w:t>
      </w:r>
    </w:p>
    <w:p w14:paraId="7D3B65E1" w14:textId="77777777" w:rsidR="00051E42" w:rsidRPr="005E6BCD" w:rsidRDefault="00051E42" w:rsidP="00051E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05F33" w14:textId="77777777" w:rsidR="00051E42" w:rsidRPr="005E6BCD" w:rsidRDefault="00051E42" w:rsidP="00051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r-HR"/>
        </w:rPr>
        <w:t>Početne inspekcije</w:t>
      </w:r>
    </w:p>
    <w:p w14:paraId="7111081B" w14:textId="77777777" w:rsidR="00051E42" w:rsidRPr="005E6BCD" w:rsidRDefault="00051E42" w:rsidP="00051E42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Provjerite točnost deklaracija i osigurajte da su aktivnosti u skladu s ciljevima i svrhom Konvencije o kontroli oružja;</w:t>
      </w:r>
    </w:p>
    <w:p w14:paraId="3570F92F" w14:textId="77777777" w:rsidR="00051E42" w:rsidRPr="005E6BCD" w:rsidRDefault="00051E42" w:rsidP="00051E42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Procijenite rizik kako biste odredili učestalost i razinu </w:t>
      </w:r>
      <w:proofErr w:type="spellStart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intruzije</w:t>
      </w:r>
      <w:proofErr w:type="spellEnd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budućih inspekcija;</w:t>
      </w:r>
    </w:p>
    <w:p w14:paraId="4A143FD7" w14:textId="77777777" w:rsidR="00051E42" w:rsidRPr="005E6BCD" w:rsidRDefault="00051E42" w:rsidP="00051E42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Pripremite sporazume o pogonu (obvezno za Popis 1. i 2., po izboru za Popis 3. i nepopisane prekidne organske kemikalije).</w:t>
      </w:r>
    </w:p>
    <w:p w14:paraId="05E1E4B0" w14:textId="771D29C3" w:rsidR="00051E42" w:rsidRPr="005E6BCD" w:rsidRDefault="00702A4B" w:rsidP="00051E4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r-HR"/>
        </w:rPr>
        <w:t>Naknadne (</w:t>
      </w:r>
      <w:r w:rsidR="00051E42" w:rsidRPr="005E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r-HR"/>
        </w:rPr>
        <w:t xml:space="preserve">„rutinske”) </w:t>
      </w:r>
      <w:r w:rsidR="00F80C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r-HR"/>
        </w:rPr>
        <w:t>i</w:t>
      </w:r>
      <w:r w:rsidR="00051E42" w:rsidRPr="005E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r-HR"/>
        </w:rPr>
        <w:t>nspekcije</w:t>
      </w:r>
    </w:p>
    <w:p w14:paraId="460EF5A6" w14:textId="090EAF60" w:rsidR="00051E42" w:rsidRPr="005E6BCD" w:rsidRDefault="00051E42" w:rsidP="00051E42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Svrha je provjerit</w:t>
      </w:r>
      <w:r w:rsidR="00F80C5F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i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</w:t>
      </w:r>
      <w:r w:rsidR="00F80C5F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deklaracije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, izostanak kemikalija s Popisa 1. (ako nisu deklariran</w:t>
      </w:r>
      <w:r w:rsidR="00F80C5F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e</w:t>
      </w: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) i </w:t>
      </w:r>
      <w:proofErr w:type="spellStart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nepreusmjeravanje</w:t>
      </w:r>
      <w:proofErr w:type="spellEnd"/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kemikalija s popisa.</w:t>
      </w:r>
    </w:p>
    <w:p w14:paraId="46F2C69C" w14:textId="77777777" w:rsidR="00051E42" w:rsidRPr="005E6BCD" w:rsidRDefault="00051E42" w:rsidP="00051E42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Pogon po Popisu 1.: broj, intenzitet, trajanje, vrijeme i način inspekcije na temelju rizika.</w:t>
      </w:r>
    </w:p>
    <w:p w14:paraId="6ABA1853" w14:textId="77777777" w:rsidR="00051E42" w:rsidRPr="005E6BCD" w:rsidRDefault="00051E42" w:rsidP="00051E42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Tvornice po Popisu 2.: najviše 2 inspekcije godišnje po tvornici; inspekcije mogu trajati 96 sati.</w:t>
      </w:r>
    </w:p>
    <w:p w14:paraId="00441733" w14:textId="77777777" w:rsidR="00051E42" w:rsidRPr="005E6BCD" w:rsidRDefault="00051E42" w:rsidP="00051E42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Tvornice po Popisu 3.: najviše 2 inspekcije godišnje po tvornici (nacionalni godišnji maksimum od 20 inspekcija po Popisu 3. i nepopisanim prekidnim organskim kemikalijama); inspekcije mogu trajati 24 sata.</w:t>
      </w:r>
    </w:p>
    <w:p w14:paraId="4F3ABA58" w14:textId="77777777" w:rsidR="00051E42" w:rsidRPr="005E6BCD" w:rsidRDefault="00051E42" w:rsidP="00051E42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BCD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Tvornice prekidnih organskih kemikalija: uglavnom slične Popisu 3.</w:t>
      </w:r>
      <w:r w:rsidRPr="005E6BCD">
        <w:rPr>
          <w:rStyle w:val="EndnoteReference"/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endnoteReference w:id="4"/>
      </w:r>
    </w:p>
    <w:p w14:paraId="2AC66D55" w14:textId="77777777" w:rsidR="008C3FDD" w:rsidRPr="005E6BCD" w:rsidRDefault="00637B65"/>
    <w:sectPr w:rsidR="008C3FDD" w:rsidRPr="005E6BCD">
      <w:footnotePr>
        <w:numFmt w:val="lowerRoman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7FFB6" w14:textId="77777777" w:rsidR="00637B65" w:rsidRDefault="00637B65" w:rsidP="00051E42">
      <w:pPr>
        <w:spacing w:after="0" w:line="240" w:lineRule="auto"/>
      </w:pPr>
      <w:r>
        <w:separator/>
      </w:r>
    </w:p>
  </w:endnote>
  <w:endnote w:type="continuationSeparator" w:id="0">
    <w:p w14:paraId="6CF1304F" w14:textId="77777777" w:rsidR="00637B65" w:rsidRDefault="00637B65" w:rsidP="00051E42">
      <w:pPr>
        <w:spacing w:after="0" w:line="240" w:lineRule="auto"/>
      </w:pPr>
      <w:r>
        <w:continuationSeparator/>
      </w:r>
    </w:p>
  </w:endnote>
  <w:endnote w:id="1">
    <w:p w14:paraId="7D4A0549" w14:textId="4DB0FC55" w:rsidR="001F6DD6" w:rsidRPr="001F6DD6" w:rsidRDefault="00051E42" w:rsidP="00051E42">
      <w:pPr>
        <w:pStyle w:val="EndnoteText"/>
        <w:rPr>
          <w:rFonts w:ascii="Times New Roman" w:eastAsia="Times New Roman" w:hAnsi="Times New Roman" w:cs="Times New Roman"/>
          <w:sz w:val="18"/>
          <w:szCs w:val="18"/>
          <w:lang w:bidi="hr-HR"/>
        </w:rPr>
      </w:pPr>
      <w:r w:rsidRPr="00261280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26128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Pojam </w:t>
      </w:r>
      <w:r w:rsidR="008915C7">
        <w:rPr>
          <w:rFonts w:ascii="Times New Roman" w:eastAsia="Times New Roman" w:hAnsi="Times New Roman" w:cs="Times New Roman"/>
          <w:sz w:val="18"/>
          <w:szCs w:val="18"/>
          <w:lang w:bidi="hr-HR"/>
        </w:rPr>
        <w:t>„</w:t>
      </w:r>
      <w:r w:rsidRPr="00261280">
        <w:rPr>
          <w:rFonts w:ascii="Times New Roman" w:eastAsia="Times New Roman" w:hAnsi="Times New Roman" w:cs="Times New Roman"/>
          <w:sz w:val="18"/>
          <w:szCs w:val="18"/>
          <w:lang w:bidi="hr-HR"/>
        </w:rPr>
        <w:t>kemijsko oružje</w:t>
      </w:r>
      <w:r w:rsidR="008915C7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“ </w:t>
      </w:r>
      <w:r w:rsidRPr="00261280">
        <w:rPr>
          <w:rFonts w:ascii="Times New Roman" w:eastAsia="Times New Roman" w:hAnsi="Times New Roman" w:cs="Times New Roman"/>
          <w:sz w:val="18"/>
          <w:szCs w:val="18"/>
          <w:lang w:bidi="hr-HR"/>
        </w:rPr>
        <w:t>ne obuhvaća samo sustave oružja, nego i otrovne kemikalije koje se koriste za njihovo punjenje i sve kemikalije prekursore.</w:t>
      </w:r>
    </w:p>
  </w:endnote>
  <w:endnote w:id="2">
    <w:p w14:paraId="595A4DF4" w14:textId="20173166" w:rsidR="001F6DD6" w:rsidRDefault="001F6DD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95BEF">
        <w:rPr>
          <w:rFonts w:ascii="Times New Roman" w:eastAsia="Times New Roman" w:hAnsi="Times New Roman" w:cs="Times New Roman"/>
          <w:sz w:val="18"/>
          <w:szCs w:val="18"/>
        </w:rPr>
        <w:t>Konvencija o kontroli oružja uvodi izvještajne zahtjeve industriji u državama strankama kada uvoz i izvoz premaši određene pragove. Izvješća služe za samo za potrebe skupljanja podataka na nacionalnoj razini i ne šalju se Organizaciji za zabranu kemijskog oružja.</w:t>
      </w:r>
    </w:p>
  </w:endnote>
  <w:endnote w:id="3">
    <w:p w14:paraId="6B5EA38C" w14:textId="77777777" w:rsidR="00051E42" w:rsidRPr="00261280" w:rsidRDefault="00051E42" w:rsidP="00051E42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261280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26128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Pojedinačne deklaracije i skupna izvješća dostavljaju se Organizaciji za zabranu kemijskog oružja kao dio nacionalne deklaracije vaše države. </w:t>
      </w:r>
    </w:p>
  </w:endnote>
  <w:endnote w:id="4">
    <w:p w14:paraId="28B527E0" w14:textId="4DF3B6BE" w:rsidR="00051E42" w:rsidRPr="00261280" w:rsidRDefault="00051E42" w:rsidP="00051E42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261280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26128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„Konvencija o kemijskom oružju: kratki vodič“,</w:t>
      </w:r>
      <w:r w:rsidR="00EE43CC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r w:rsidRPr="00261280">
        <w:rPr>
          <w:rFonts w:ascii="Times New Roman" w:eastAsia="Times New Roman" w:hAnsi="Times New Roman" w:cs="Times New Roman"/>
          <w:sz w:val="18"/>
          <w:szCs w:val="18"/>
          <w:lang w:bidi="hr-HR"/>
        </w:rPr>
        <w:t>Ministarstvo trgovine</w:t>
      </w:r>
      <w:r w:rsidR="00EE43CC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SAD-a</w:t>
      </w:r>
      <w:r w:rsidRPr="00261280">
        <w:rPr>
          <w:rFonts w:ascii="Times New Roman" w:eastAsia="Times New Roman" w:hAnsi="Times New Roman" w:cs="Times New Roman"/>
          <w:sz w:val="18"/>
          <w:szCs w:val="18"/>
          <w:lang w:bidi="hr-HR"/>
        </w:rPr>
        <w:t>, Ured za industriju i sigurnost, Bilten CWC</w:t>
      </w:r>
      <w:r w:rsidR="00EE43CC">
        <w:rPr>
          <w:rFonts w:ascii="Times New Roman" w:eastAsia="Times New Roman" w:hAnsi="Times New Roman" w:cs="Times New Roman"/>
          <w:sz w:val="18"/>
          <w:szCs w:val="18"/>
          <w:lang w:bidi="hr-HR"/>
        </w:rPr>
        <w:t>-a</w:t>
      </w:r>
      <w:r w:rsidRPr="00261280">
        <w:rPr>
          <w:rFonts w:ascii="Times New Roman" w:eastAsia="Times New Roman" w:hAnsi="Times New Roman" w:cs="Times New Roman"/>
          <w:sz w:val="18"/>
          <w:szCs w:val="18"/>
          <w:lang w:bidi="hr-HR"/>
        </w:rPr>
        <w:t>, svibanj 2006., &lt;http://www.cwc.gov/assets/pdf/outreach_industry_publications_cwc002.pdf&gt;.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5802" w14:textId="77777777" w:rsidR="00637B65" w:rsidRDefault="00637B65" w:rsidP="00051E42">
      <w:pPr>
        <w:spacing w:after="0" w:line="240" w:lineRule="auto"/>
      </w:pPr>
      <w:r>
        <w:separator/>
      </w:r>
    </w:p>
  </w:footnote>
  <w:footnote w:type="continuationSeparator" w:id="0">
    <w:p w14:paraId="53D9AD52" w14:textId="77777777" w:rsidR="00637B65" w:rsidRDefault="00637B65" w:rsidP="0005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6048"/>
    <w:multiLevelType w:val="hybridMultilevel"/>
    <w:tmpl w:val="FD66CE88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E53CE"/>
    <w:multiLevelType w:val="multilevel"/>
    <w:tmpl w:val="97FE86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A2603B"/>
    <w:multiLevelType w:val="hybridMultilevel"/>
    <w:tmpl w:val="F86ABAE0"/>
    <w:lvl w:ilvl="0" w:tplc="DF02C9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BF6254"/>
    <w:multiLevelType w:val="multilevel"/>
    <w:tmpl w:val="DD7693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3C117C"/>
    <w:multiLevelType w:val="hybridMultilevel"/>
    <w:tmpl w:val="D542C71C"/>
    <w:lvl w:ilvl="0" w:tplc="DF02C9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4873A8"/>
    <w:multiLevelType w:val="hybridMultilevel"/>
    <w:tmpl w:val="982A00F0"/>
    <w:lvl w:ilvl="0" w:tplc="DF02C9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54715"/>
    <w:multiLevelType w:val="multilevel"/>
    <w:tmpl w:val="5EDC9E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E42"/>
    <w:rsid w:val="00051E42"/>
    <w:rsid w:val="00056253"/>
    <w:rsid w:val="0016650B"/>
    <w:rsid w:val="0019345A"/>
    <w:rsid w:val="001F6DD6"/>
    <w:rsid w:val="002D2E21"/>
    <w:rsid w:val="00376D92"/>
    <w:rsid w:val="003A5A63"/>
    <w:rsid w:val="003B6C96"/>
    <w:rsid w:val="00470AEA"/>
    <w:rsid w:val="0049227F"/>
    <w:rsid w:val="004B0F61"/>
    <w:rsid w:val="00516E2D"/>
    <w:rsid w:val="005B7006"/>
    <w:rsid w:val="005E6BCD"/>
    <w:rsid w:val="005F73AC"/>
    <w:rsid w:val="00637B65"/>
    <w:rsid w:val="00691A09"/>
    <w:rsid w:val="00695BEF"/>
    <w:rsid w:val="00702A4B"/>
    <w:rsid w:val="00714CF0"/>
    <w:rsid w:val="008915C7"/>
    <w:rsid w:val="008B47E8"/>
    <w:rsid w:val="008D62C5"/>
    <w:rsid w:val="0092236E"/>
    <w:rsid w:val="009B733D"/>
    <w:rsid w:val="00AA7FA2"/>
    <w:rsid w:val="00AD6367"/>
    <w:rsid w:val="00C3650B"/>
    <w:rsid w:val="00C62698"/>
    <w:rsid w:val="00CE1DD2"/>
    <w:rsid w:val="00D65A05"/>
    <w:rsid w:val="00DF252F"/>
    <w:rsid w:val="00E16B55"/>
    <w:rsid w:val="00E83B2B"/>
    <w:rsid w:val="00EA3368"/>
    <w:rsid w:val="00EE43CC"/>
    <w:rsid w:val="00F80C5F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24CB2E"/>
  <w15:docId w15:val="{0ABCBDBE-9182-084E-8F5D-8A1C1BA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E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E4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51E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E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051E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1E4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F6DD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6DD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F6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pcw.org/chemical-weapons-convention/annexes/annex-on-chemicals/schedule-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cw.org/chemical-weapons-convention/annexes/annex-on-chemicals/schedule-2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pcw.org/chemical-weapons-convention/annexes/annex-on-chemicals/schedule-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Props1.xml><?xml version="1.0" encoding="utf-8"?>
<ds:datastoreItem xmlns:ds="http://schemas.openxmlformats.org/officeDocument/2006/customXml" ds:itemID="{9A8D1F4A-C9C3-4CBE-82EA-D09245FC41D6}"/>
</file>

<file path=customXml/itemProps2.xml><?xml version="1.0" encoding="utf-8"?>
<ds:datastoreItem xmlns:ds="http://schemas.openxmlformats.org/officeDocument/2006/customXml" ds:itemID="{8DD25533-FB93-4AAD-B830-FE835A13436F}"/>
</file>

<file path=customXml/itemProps3.xml><?xml version="1.0" encoding="utf-8"?>
<ds:datastoreItem xmlns:ds="http://schemas.openxmlformats.org/officeDocument/2006/customXml" ds:itemID="{1D611374-77A6-4AE0-844E-6D5D71A5A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974</Words>
  <Characters>5357</Characters>
  <Application>Microsoft Office Word</Application>
  <DocSecurity>0</DocSecurity>
  <Lines>90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Dubowsky, Ryan K</dc:creator>
  <cp:keywords/>
  <dc:description/>
  <cp:lastModifiedBy>Katja Anic</cp:lastModifiedBy>
  <cp:revision>20</cp:revision>
  <dcterms:created xsi:type="dcterms:W3CDTF">2019-09-20T14:48:00Z</dcterms:created>
  <dcterms:modified xsi:type="dcterms:W3CDTF">2019-10-09T15:07:00Z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